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64CC" w:rsidRPr="0036583C" w:rsidRDefault="009C64CC" w:rsidP="009C64CC">
      <w:pPr>
        <w:pStyle w:val="a4"/>
        <w:spacing w:before="0" w:beforeAutospacing="0" w:after="0" w:afterAutospacing="0"/>
        <w:ind w:firstLine="630"/>
        <w:jc w:val="center"/>
      </w:pPr>
      <w:r w:rsidRPr="0036583C">
        <w:rPr>
          <w:b/>
          <w:bCs/>
        </w:rPr>
        <w:t>Счетчики электрических импульсов</w:t>
      </w:r>
    </w:p>
    <w:p w:rsidR="009C64CC" w:rsidRPr="0036583C" w:rsidRDefault="009C64CC" w:rsidP="009C64CC">
      <w:pPr>
        <w:pStyle w:val="a4"/>
        <w:spacing w:before="0" w:beforeAutospacing="0" w:after="0" w:afterAutospacing="0"/>
        <w:ind w:firstLine="630"/>
        <w:jc w:val="center"/>
      </w:pPr>
      <w:r w:rsidRPr="0036583C">
        <w:t> </w:t>
      </w:r>
    </w:p>
    <w:p w:rsidR="009C64CC" w:rsidRPr="0036583C" w:rsidRDefault="009C64CC" w:rsidP="00B546FD">
      <w:pPr>
        <w:pStyle w:val="21"/>
        <w:spacing w:before="0" w:beforeAutospacing="0" w:after="0" w:afterAutospacing="0"/>
        <w:ind w:firstLine="630"/>
        <w:jc w:val="both"/>
      </w:pPr>
      <w:r w:rsidRPr="0036583C">
        <w:t>Счетчиком называют цифровое устройство, обеспечивающее подсчет числа электрических импульсов. Коэффициент пересчета счетчика равен минимальному числу импульсов, поступивших на вход счетчика, после которых состояния на выходе счетчика начинают повторяться. Счетчик называют суммирующим, если после каждого очередного импульса цифровой код на выходе счетчика увеличивается на единицу. В вычитающем счетчике после каждого импульса на входе счетчика цифровой код на выходе уменьшается на единицу. Счетчики, в которых возможно переключение с режима суммирования на режим вычитания, называются реверсивными.</w:t>
      </w:r>
    </w:p>
    <w:p w:rsidR="009C64CC" w:rsidRPr="0036583C" w:rsidRDefault="009C64CC" w:rsidP="00B546FD">
      <w:pPr>
        <w:pStyle w:val="a3"/>
        <w:spacing w:before="0" w:beforeAutospacing="0" w:after="0" w:afterAutospacing="0"/>
        <w:ind w:firstLine="630"/>
        <w:jc w:val="both"/>
      </w:pPr>
    </w:p>
    <w:p w:rsidR="009C64CC" w:rsidRPr="0036583C" w:rsidRDefault="009C64CC" w:rsidP="00B546FD">
      <w:pPr>
        <w:pStyle w:val="a3"/>
        <w:spacing w:before="0" w:beforeAutospacing="0" w:after="0" w:afterAutospacing="0"/>
        <w:ind w:firstLine="630"/>
        <w:jc w:val="both"/>
      </w:pPr>
      <w:r w:rsidRPr="0036583C">
        <w:rPr>
          <w:spacing w:val="-4"/>
        </w:rPr>
        <w:t>Счетчики могут быть с предварительной установкой. В таких счетчиках информация с входов предварительной установки передается на выходы счетчика</w:t>
      </w:r>
      <w:r w:rsidRPr="0036583C">
        <w:t xml:space="preserve"> по сигналу на специальном входе предварительной установки. По своей структуре счетчики делятся на последовательные, параллельные и параллельно-последовательные. Последовательный двоичный счетчик образован цепочкой последовательно включенных счетных триггеров. В параллельном счетчике счетные импульсы </w:t>
      </w:r>
      <w:proofErr w:type="gramStart"/>
      <w:r w:rsidRPr="0036583C">
        <w:t>подаются  одновременно</w:t>
      </w:r>
      <w:proofErr w:type="gramEnd"/>
      <w:r w:rsidRPr="0036583C">
        <w:t xml:space="preserve"> на входы </w:t>
      </w:r>
      <w:r w:rsidRPr="0036583C">
        <w:rPr>
          <w:spacing w:val="-4"/>
        </w:rPr>
        <w:t>всех разрядов счетчика. Параллельные счетчики имеют большее быстродействие по сравнению с последовательными. Параллельно-последовательные счетчики имеют высокое быстродействие и большое значе</w:t>
      </w:r>
      <w:r w:rsidRPr="0036583C">
        <w:t>ние коэффициента пересчета.</w:t>
      </w:r>
    </w:p>
    <w:p w:rsidR="00B546FD" w:rsidRDefault="00B546FD" w:rsidP="00B546FD">
      <w:pPr>
        <w:pStyle w:val="a4"/>
        <w:spacing w:before="0" w:beforeAutospacing="0" w:after="0" w:afterAutospacing="0"/>
        <w:ind w:firstLine="630"/>
        <w:jc w:val="center"/>
        <w:rPr>
          <w:b/>
          <w:bCs/>
        </w:rPr>
      </w:pPr>
    </w:p>
    <w:p w:rsidR="009C64CC" w:rsidRPr="00B546FD" w:rsidRDefault="00DB18B2" w:rsidP="00B546FD">
      <w:pPr>
        <w:pStyle w:val="a4"/>
        <w:spacing w:before="0" w:beforeAutospacing="0" w:after="0" w:afterAutospacing="0"/>
        <w:ind w:firstLine="630"/>
        <w:jc w:val="center"/>
        <w:rPr>
          <w:b/>
          <w:bCs/>
        </w:rPr>
      </w:pPr>
      <w:r w:rsidRPr="00DB18B2">
        <w:rPr>
          <w:b/>
          <w:bCs/>
        </w:rPr>
        <w:t>Двоичные асинхронные счётчики</w:t>
      </w:r>
    </w:p>
    <w:p w:rsidR="009C64CC" w:rsidRPr="0036583C" w:rsidRDefault="009C64CC" w:rsidP="009C64CC">
      <w:pPr>
        <w:pStyle w:val="a3"/>
        <w:spacing w:before="0" w:beforeAutospacing="0" w:after="0" w:afterAutospacing="0"/>
        <w:ind w:firstLine="630"/>
      </w:pPr>
    </w:p>
    <w:p w:rsidR="009C64CC" w:rsidRPr="0036583C" w:rsidRDefault="009C64CC" w:rsidP="00B546FD">
      <w:pPr>
        <w:ind w:firstLine="708"/>
        <w:jc w:val="both"/>
      </w:pPr>
      <w:r w:rsidRPr="0036583C">
        <w:rPr>
          <w:color w:val="000000"/>
          <w:shd w:val="clear" w:color="auto" w:fill="FFFFFF"/>
        </w:rPr>
        <w:t>Схема счётчика, позволяющего посчитать любое количество импульсов, меньшее шестнадцати, приведена на рисунке 3. Количество поступивших на вход импульсов можно узнать, подключившись к выходам счётчика </w:t>
      </w:r>
      <w:r w:rsidRPr="0036583C">
        <w:t>Q0 … Q3</w:t>
      </w:r>
      <w:r w:rsidRPr="0036583C">
        <w:rPr>
          <w:color w:val="000000"/>
          <w:shd w:val="clear" w:color="auto" w:fill="FFFFFF"/>
        </w:rPr>
        <w:t>. Это число будет представлено в </w:t>
      </w:r>
      <w:r w:rsidRPr="0036583C">
        <w:rPr>
          <w:shd w:val="clear" w:color="auto" w:fill="FFFFFF"/>
        </w:rPr>
        <w:t>двоичном коде</w:t>
      </w:r>
      <w:r w:rsidRPr="0036583C">
        <w:rPr>
          <w:color w:val="000000"/>
          <w:shd w:val="clear" w:color="auto" w:fill="FFFFFF"/>
        </w:rPr>
        <w:t>.</w:t>
      </w:r>
    </w:p>
    <w:p w:rsidR="00DB18B2" w:rsidRPr="0036583C" w:rsidRDefault="00DB18B2" w:rsidP="00DB18B2">
      <w:r w:rsidRPr="0036583C">
        <w:fldChar w:fldCharType="begin"/>
      </w:r>
      <w:r w:rsidRPr="0036583C">
        <w:instrText xml:space="preserve"> INCLUDEPICTURE "https://digteh.ru/digital/COUNTER/3.gif" \* MERGEFORMATINET </w:instrText>
      </w:r>
      <w:r w:rsidRPr="0036583C">
        <w:fldChar w:fldCharType="separate"/>
      </w:r>
      <w:r w:rsidRPr="0036583C">
        <w:rPr>
          <w:noProof/>
        </w:rPr>
        <w:drawing>
          <wp:inline distT="0" distB="0" distL="0" distR="0">
            <wp:extent cx="5737860" cy="1437005"/>
            <wp:effectExtent l="0" t="0" r="2540" b="0"/>
            <wp:docPr id="22" name="Рисунок 22" descr="https://digteh.ru/digital/COUNTER/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igteh.ru/digital/COUNTER/3.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7860" cy="1437005"/>
                    </a:xfrm>
                    <a:prstGeom prst="rect">
                      <a:avLst/>
                    </a:prstGeom>
                    <a:noFill/>
                    <a:ln>
                      <a:noFill/>
                    </a:ln>
                  </pic:spPr>
                </pic:pic>
              </a:graphicData>
            </a:graphic>
          </wp:inline>
        </w:drawing>
      </w:r>
      <w:r w:rsidRPr="0036583C">
        <w:fldChar w:fldCharType="end"/>
      </w:r>
    </w:p>
    <w:p w:rsidR="00DB18B2" w:rsidRPr="0036583C" w:rsidRDefault="00DB18B2" w:rsidP="00DB18B2">
      <w:pPr>
        <w:shd w:val="clear" w:color="auto" w:fill="FFFFFF"/>
        <w:jc w:val="center"/>
        <w:rPr>
          <w:color w:val="000000"/>
        </w:rPr>
      </w:pPr>
      <w:r w:rsidRPr="0036583C">
        <w:rPr>
          <w:color w:val="000000"/>
        </w:rPr>
        <w:t>Рисунок 3. Схема четырёхразрядного счётчика, построенного на универсальных D-триггерах</w:t>
      </w:r>
    </w:p>
    <w:p w:rsidR="00DB18B2" w:rsidRPr="0036583C" w:rsidRDefault="00DB18B2" w:rsidP="00DB18B2">
      <w:pPr>
        <w:pStyle w:val="a3"/>
        <w:shd w:val="clear" w:color="auto" w:fill="FFFFFF"/>
        <w:ind w:firstLine="450"/>
        <w:jc w:val="both"/>
        <w:rPr>
          <w:color w:val="000000"/>
        </w:rPr>
      </w:pPr>
      <w:r w:rsidRPr="0036583C">
        <w:rPr>
          <w:color w:val="000000"/>
        </w:rPr>
        <w:t>Для того чтобы разобраться, как работает схема двоичного счётчика, воспользуемся временными диаграммами сигналов на входе и выходах этой схемы, приведёнными на рисунке 4.</w:t>
      </w:r>
    </w:p>
    <w:p w:rsidR="00DB18B2" w:rsidRPr="0036583C" w:rsidRDefault="00DB18B2" w:rsidP="00DB18B2">
      <w:pPr>
        <w:shd w:val="clear" w:color="auto" w:fill="FFFFFF"/>
        <w:jc w:val="center"/>
        <w:rPr>
          <w:color w:val="000000"/>
        </w:rPr>
      </w:pPr>
      <w:r w:rsidRPr="0036583C">
        <w:rPr>
          <w:color w:val="000000"/>
        </w:rPr>
        <w:lastRenderedPageBreak/>
        <w:fldChar w:fldCharType="begin"/>
      </w:r>
      <w:r w:rsidRPr="0036583C">
        <w:rPr>
          <w:color w:val="000000"/>
        </w:rPr>
        <w:instrText xml:space="preserve"> INCLUDEPICTURE "https://digteh.ru/digital/COUNTER/4.gif" \* MERGEFORMATINET </w:instrText>
      </w:r>
      <w:r w:rsidRPr="0036583C">
        <w:rPr>
          <w:color w:val="000000"/>
        </w:rPr>
        <w:fldChar w:fldCharType="separate"/>
      </w:r>
      <w:bookmarkStart w:id="0" w:name="_GoBack"/>
      <w:r w:rsidRPr="0036583C">
        <w:rPr>
          <w:noProof/>
          <w:color w:val="000000"/>
        </w:rPr>
        <w:drawing>
          <wp:inline distT="0" distB="0" distL="0" distR="0">
            <wp:extent cx="4246586" cy="4222554"/>
            <wp:effectExtent l="0" t="0" r="0" b="0"/>
            <wp:docPr id="24" name="Рисунок 24" descr="https://digteh.ru/digital/COUNTER/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digteh.ru/digital/COUNTER/4.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48622" cy="4224578"/>
                    </a:xfrm>
                    <a:prstGeom prst="rect">
                      <a:avLst/>
                    </a:prstGeom>
                    <a:noFill/>
                    <a:ln>
                      <a:noFill/>
                    </a:ln>
                  </pic:spPr>
                </pic:pic>
              </a:graphicData>
            </a:graphic>
          </wp:inline>
        </w:drawing>
      </w:r>
      <w:bookmarkEnd w:id="0"/>
      <w:r w:rsidRPr="0036583C">
        <w:rPr>
          <w:color w:val="000000"/>
        </w:rPr>
        <w:fldChar w:fldCharType="end"/>
      </w:r>
      <w:r w:rsidRPr="0036583C">
        <w:rPr>
          <w:color w:val="000000"/>
        </w:rPr>
        <w:br/>
        <w:t>Рисунок 4 Временная диаграмма четырёхразрядного счётчика</w:t>
      </w:r>
    </w:p>
    <w:p w:rsidR="00DB18B2" w:rsidRPr="0036583C" w:rsidRDefault="00DB18B2" w:rsidP="00DB18B2">
      <w:pPr>
        <w:pStyle w:val="a3"/>
        <w:shd w:val="clear" w:color="auto" w:fill="FFFFFF"/>
        <w:ind w:firstLine="450"/>
        <w:jc w:val="both"/>
        <w:rPr>
          <w:color w:val="000000"/>
        </w:rPr>
      </w:pPr>
      <w:r w:rsidRPr="0036583C">
        <w:rPr>
          <w:color w:val="000000"/>
        </w:rPr>
        <w:t>Пусть первоначальное состояние всех триггеров счётчика будет нулевым. Это состояние мы видим на временных диаграммах. Запишем его в таблицу 1. После поступления на вход счётчика тактового импульса (который воспринимается по заднему фронту) первый триггер изменяет своё состояние на противоположное, то есть единицу.</w:t>
      </w:r>
    </w:p>
    <w:p w:rsidR="00DB18B2" w:rsidRPr="0036583C" w:rsidRDefault="00DB18B2" w:rsidP="00DB18B2">
      <w:pPr>
        <w:pStyle w:val="a3"/>
        <w:shd w:val="clear" w:color="auto" w:fill="FFFFFF"/>
        <w:ind w:firstLine="450"/>
        <w:jc w:val="both"/>
        <w:rPr>
          <w:color w:val="000000"/>
        </w:rPr>
      </w:pPr>
      <w:r w:rsidRPr="0036583C">
        <w:rPr>
          <w:color w:val="000000"/>
        </w:rPr>
        <w:t>Запишем новое состояние выходов счётчика в ту же самую таблицу. Так как по приходу первого импульса изменилось состояние первого триггера, то этот триггер содержит младший разряд двоичного числа (единицы). В таблице поместим его значение на самом правом месте, как это принято при записи любых многоразрядных чисел. Здесь мы впервые сталкиваемся с противоречием правил записи чисел и правил распространения сигналов на принципиальных схемах.</w:t>
      </w:r>
    </w:p>
    <w:p w:rsidR="00DB18B2" w:rsidRPr="0036583C" w:rsidRDefault="00DB18B2" w:rsidP="00DB18B2">
      <w:pPr>
        <w:pStyle w:val="a3"/>
        <w:shd w:val="clear" w:color="auto" w:fill="FFFFFF"/>
        <w:ind w:firstLine="450"/>
        <w:jc w:val="both"/>
        <w:rPr>
          <w:color w:val="000000"/>
        </w:rPr>
      </w:pPr>
      <w:r w:rsidRPr="0036583C">
        <w:rPr>
          <w:color w:val="000000"/>
        </w:rPr>
        <w:t>Подадим на вход счётчика ещё один тактовый импульс. Значение первого триггера снова изменится на прямо противоположное. На этот раз на выходе первого триггера, а значит и на входе второго триггера сформируется задний фронт. Это означает, что второй триггер тоже изменит своё состояние на противоположное. Это отчётливо видно на временных диаграммах, приведённых на рисунке 4. Запишем новое состояние выходов счётчика в таблицу 1. В этой строке таблицы образовалось двоичное число 2. Оно совпадает с номером входного импульса.</w:t>
      </w:r>
    </w:p>
    <w:p w:rsidR="00DB18B2" w:rsidRPr="0036583C" w:rsidRDefault="00DB18B2" w:rsidP="00DB18B2">
      <w:pPr>
        <w:pStyle w:val="a3"/>
        <w:shd w:val="clear" w:color="auto" w:fill="FFFFFF"/>
        <w:ind w:firstLine="450"/>
        <w:jc w:val="both"/>
        <w:rPr>
          <w:color w:val="000000"/>
        </w:rPr>
      </w:pPr>
      <w:r w:rsidRPr="0036583C">
        <w:rPr>
          <w:color w:val="000000"/>
        </w:rPr>
        <w:t>Продолжая анализировать временную диаграмму, можно определить, что на выходах приведённой схемы счётчика последовательно появляются цифры от 0 до 15. Эти цифры записаны в двоичном виде. При поступлении на счётный вход счётчика очередного импульса, содержимое его триггеров увеличивается на 1. Поэтому такие счётчики получили название суммирующих двоичных счётчиков.</w:t>
      </w:r>
    </w:p>
    <w:p w:rsidR="00DB18B2" w:rsidRPr="0036583C" w:rsidRDefault="00DB18B2" w:rsidP="00DB18B2">
      <w:pPr>
        <w:pStyle w:val="a3"/>
        <w:shd w:val="clear" w:color="auto" w:fill="FFFFFF"/>
        <w:ind w:firstLine="450"/>
        <w:jc w:val="both"/>
        <w:rPr>
          <w:color w:val="000000"/>
        </w:rPr>
      </w:pPr>
      <w:r w:rsidRPr="0036583C">
        <w:rPr>
          <w:color w:val="000000"/>
        </w:rPr>
        <w:lastRenderedPageBreak/>
        <w:t>Таблица 1. Изменение уровней на выходе суммирующего счётчика при поступлении на его вход импульсов.</w:t>
      </w:r>
    </w:p>
    <w:tbl>
      <w:tblPr>
        <w:tblW w:w="4500" w:type="dxa"/>
        <w:jc w:val="center"/>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963"/>
        <w:gridCol w:w="635"/>
        <w:gridCol w:w="634"/>
        <w:gridCol w:w="634"/>
        <w:gridCol w:w="634"/>
      </w:tblGrid>
      <w:tr w:rsidR="00DB18B2" w:rsidRPr="0036583C" w:rsidTr="00DB18B2">
        <w:trPr>
          <w:jc w:val="center"/>
        </w:trPr>
        <w:tc>
          <w:tcPr>
            <w:tcW w:w="300" w:type="dxa"/>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номер входного импульса</w:t>
            </w:r>
          </w:p>
        </w:tc>
        <w:tc>
          <w:tcPr>
            <w:tcW w:w="75" w:type="dxa"/>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Q3</w:t>
            </w:r>
          </w:p>
        </w:tc>
        <w:tc>
          <w:tcPr>
            <w:tcW w:w="75" w:type="dxa"/>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Q2</w:t>
            </w:r>
          </w:p>
        </w:tc>
        <w:tc>
          <w:tcPr>
            <w:tcW w:w="75" w:type="dxa"/>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Q1</w:t>
            </w:r>
          </w:p>
        </w:tc>
        <w:tc>
          <w:tcPr>
            <w:tcW w:w="75" w:type="dxa"/>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Q0</w:t>
            </w:r>
          </w:p>
        </w:tc>
      </w:tr>
      <w:tr w:rsidR="00DB18B2" w:rsidRPr="0036583C" w:rsidTr="00DB18B2">
        <w:trPr>
          <w:jc w:val="center"/>
        </w:trPr>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r>
      <w:tr w:rsidR="00DB18B2" w:rsidRPr="0036583C" w:rsidTr="00DB18B2">
        <w:trPr>
          <w:jc w:val="center"/>
        </w:trPr>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r>
      <w:tr w:rsidR="00DB18B2" w:rsidRPr="0036583C" w:rsidTr="00DB18B2">
        <w:trPr>
          <w:jc w:val="center"/>
        </w:trPr>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2</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r>
      <w:tr w:rsidR="00DB18B2" w:rsidRPr="0036583C" w:rsidTr="00DB18B2">
        <w:trPr>
          <w:jc w:val="center"/>
        </w:trPr>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3</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r>
      <w:tr w:rsidR="00DB18B2" w:rsidRPr="0036583C" w:rsidTr="00DB18B2">
        <w:trPr>
          <w:jc w:val="center"/>
        </w:trPr>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4</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r>
      <w:tr w:rsidR="00DB18B2" w:rsidRPr="0036583C" w:rsidTr="00DB18B2">
        <w:trPr>
          <w:jc w:val="center"/>
        </w:trPr>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5</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r>
      <w:tr w:rsidR="00DB18B2" w:rsidRPr="0036583C" w:rsidTr="00DB18B2">
        <w:trPr>
          <w:jc w:val="center"/>
        </w:trPr>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6</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r>
      <w:tr w:rsidR="00DB18B2" w:rsidRPr="0036583C" w:rsidTr="00DB18B2">
        <w:trPr>
          <w:jc w:val="center"/>
        </w:trPr>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7</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r>
      <w:tr w:rsidR="00DB18B2" w:rsidRPr="0036583C" w:rsidTr="00DB18B2">
        <w:trPr>
          <w:jc w:val="center"/>
        </w:trPr>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8</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r>
      <w:tr w:rsidR="00DB18B2" w:rsidRPr="0036583C" w:rsidTr="00DB18B2">
        <w:trPr>
          <w:jc w:val="center"/>
        </w:trPr>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9</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r>
      <w:tr w:rsidR="00DB18B2" w:rsidRPr="0036583C" w:rsidTr="00DB18B2">
        <w:trPr>
          <w:jc w:val="center"/>
        </w:trPr>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10</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r>
      <w:tr w:rsidR="00DB18B2" w:rsidRPr="0036583C" w:rsidTr="00DB18B2">
        <w:trPr>
          <w:jc w:val="center"/>
        </w:trPr>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11</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r>
      <w:tr w:rsidR="00DB18B2" w:rsidRPr="0036583C" w:rsidTr="00DB18B2">
        <w:trPr>
          <w:jc w:val="center"/>
        </w:trPr>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12</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r>
      <w:tr w:rsidR="00DB18B2" w:rsidRPr="0036583C" w:rsidTr="00DB18B2">
        <w:trPr>
          <w:jc w:val="center"/>
        </w:trPr>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13</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r>
      <w:tr w:rsidR="00DB18B2" w:rsidRPr="0036583C" w:rsidTr="00DB18B2">
        <w:trPr>
          <w:jc w:val="center"/>
        </w:trPr>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14</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0</w:t>
            </w:r>
          </w:p>
        </w:tc>
      </w:tr>
      <w:tr w:rsidR="00DB18B2" w:rsidRPr="0036583C" w:rsidTr="00DB18B2">
        <w:trPr>
          <w:jc w:val="center"/>
        </w:trPr>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15</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c>
          <w:tcPr>
            <w:tcW w:w="0" w:type="auto"/>
            <w:tcBorders>
              <w:top w:val="outset" w:sz="6" w:space="0" w:color="auto"/>
              <w:left w:val="outset" w:sz="6" w:space="0" w:color="auto"/>
              <w:bottom w:val="outset" w:sz="6" w:space="0" w:color="auto"/>
              <w:right w:val="outset" w:sz="6" w:space="0" w:color="auto"/>
            </w:tcBorders>
            <w:hideMark/>
          </w:tcPr>
          <w:p w:rsidR="00DB18B2" w:rsidRPr="0036583C" w:rsidRDefault="00DB18B2">
            <w:pPr>
              <w:jc w:val="center"/>
            </w:pPr>
            <w:r w:rsidRPr="0036583C">
              <w:t>1</w:t>
            </w:r>
          </w:p>
        </w:tc>
      </w:tr>
    </w:tbl>
    <w:p w:rsidR="00DB18B2" w:rsidRPr="0036583C" w:rsidRDefault="00DB18B2" w:rsidP="00DB18B2">
      <w:pPr>
        <w:pStyle w:val="a3"/>
        <w:shd w:val="clear" w:color="auto" w:fill="FFFFFF"/>
        <w:ind w:firstLine="450"/>
        <w:jc w:val="both"/>
        <w:rPr>
          <w:color w:val="000000"/>
        </w:rPr>
      </w:pPr>
      <w:r w:rsidRPr="0036583C">
        <w:rPr>
          <w:color w:val="000000"/>
        </w:rPr>
        <w:t>Условно-графическое обозначение суммирующего двоичного счетчика на принципиальных схемах приведено на рисунке 5. В двоичных счётчиках обычно предусматривают вход обнуления микросхемы R, который позволяет записать во все триггеры счётчика нулевое значение. Это состояние иногда называют исходным состоянием счётчика.</w:t>
      </w:r>
    </w:p>
    <w:p w:rsidR="00DB18B2" w:rsidRPr="0036583C" w:rsidRDefault="00DB18B2" w:rsidP="00DB18B2">
      <w:pPr>
        <w:shd w:val="clear" w:color="auto" w:fill="FFFFFF"/>
        <w:jc w:val="center"/>
        <w:rPr>
          <w:color w:val="000000"/>
        </w:rPr>
      </w:pPr>
      <w:r w:rsidRPr="0036583C">
        <w:rPr>
          <w:color w:val="000000"/>
        </w:rPr>
        <w:fldChar w:fldCharType="begin"/>
      </w:r>
      <w:r w:rsidRPr="0036583C">
        <w:rPr>
          <w:color w:val="000000"/>
        </w:rPr>
        <w:instrText xml:space="preserve"> INCLUDEPICTURE "https://digteh.ru/digital/COUNTER/5.gif" \* MERGEFORMATINET </w:instrText>
      </w:r>
      <w:r w:rsidRPr="0036583C">
        <w:rPr>
          <w:color w:val="000000"/>
        </w:rPr>
        <w:fldChar w:fldCharType="separate"/>
      </w:r>
      <w:r w:rsidRPr="0036583C">
        <w:rPr>
          <w:noProof/>
          <w:color w:val="000000"/>
        </w:rPr>
        <w:drawing>
          <wp:inline distT="0" distB="0" distL="0" distR="0">
            <wp:extent cx="1697990" cy="1457325"/>
            <wp:effectExtent l="0" t="0" r="3810" b="3175"/>
            <wp:docPr id="23" name="Рисунок 23" descr="https://digteh.ru/digital/COUNTER/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digteh.ru/digital/COUNTER/5.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97990" cy="1457325"/>
                    </a:xfrm>
                    <a:prstGeom prst="rect">
                      <a:avLst/>
                    </a:prstGeom>
                    <a:noFill/>
                    <a:ln>
                      <a:noFill/>
                    </a:ln>
                  </pic:spPr>
                </pic:pic>
              </a:graphicData>
            </a:graphic>
          </wp:inline>
        </w:drawing>
      </w:r>
      <w:r w:rsidRPr="0036583C">
        <w:rPr>
          <w:color w:val="000000"/>
        </w:rPr>
        <w:fldChar w:fldCharType="end"/>
      </w:r>
      <w:r w:rsidRPr="0036583C">
        <w:rPr>
          <w:color w:val="000000"/>
        </w:rPr>
        <w:br/>
        <w:t>Рисунок 5. Четырёхразрядный двоичный счётчик</w:t>
      </w:r>
    </w:p>
    <w:p w:rsidR="00DB18B2" w:rsidRPr="0036583C" w:rsidRDefault="00DB18B2" w:rsidP="00DB18B2">
      <w:pPr>
        <w:pStyle w:val="a3"/>
        <w:shd w:val="clear" w:color="auto" w:fill="FFFFFF"/>
        <w:ind w:firstLine="450"/>
        <w:jc w:val="both"/>
        <w:rPr>
          <w:color w:val="000000"/>
        </w:rPr>
      </w:pPr>
      <w:r w:rsidRPr="0036583C">
        <w:rPr>
          <w:color w:val="000000"/>
        </w:rPr>
        <w:t>Существуют готовые микросхемы асинхронных двоичных счётчиков. Классическим примером такого счётчика является микросхема 555ИЕ5. Подобные схемы существуют и внутри САПР программируемых логических интегральных схем.</w:t>
      </w:r>
    </w:p>
    <w:sectPr w:rsidR="00DB18B2" w:rsidRPr="0036583C" w:rsidSect="00230E63">
      <w:pgSz w:w="11900" w:h="16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64CC"/>
    <w:rsid w:val="00024566"/>
    <w:rsid w:val="00230E63"/>
    <w:rsid w:val="0036583C"/>
    <w:rsid w:val="006701F3"/>
    <w:rsid w:val="00827F8C"/>
    <w:rsid w:val="009C64CC"/>
    <w:rsid w:val="00A95D65"/>
    <w:rsid w:val="00B546FD"/>
    <w:rsid w:val="00C16367"/>
    <w:rsid w:val="00DB18B2"/>
    <w:rsid w:val="00EA03BF"/>
    <w:rsid w:val="00F00B29"/>
    <w:rsid w:val="00F405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86C9FB"/>
  <w14:defaultImageDpi w14:val="32767"/>
  <w15:chartTrackingRefBased/>
  <w15:docId w15:val="{CDCD91EB-29D4-BA46-8E97-512875521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9C64CC"/>
    <w:rPr>
      <w:rFonts w:ascii="Times New Roman" w:eastAsia="Times New Roman" w:hAnsi="Times New Roman" w:cs="Times New Roman"/>
      <w:lang w:eastAsia="ru-RU"/>
    </w:rPr>
  </w:style>
  <w:style w:type="paragraph" w:styleId="2">
    <w:name w:val="heading 2"/>
    <w:basedOn w:val="a"/>
    <w:link w:val="20"/>
    <w:uiPriority w:val="9"/>
    <w:qFormat/>
    <w:rsid w:val="00DB18B2"/>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9C64CC"/>
    <w:pPr>
      <w:spacing w:before="100" w:beforeAutospacing="1" w:after="100" w:afterAutospacing="1"/>
    </w:pPr>
  </w:style>
  <w:style w:type="paragraph" w:styleId="a4">
    <w:name w:val="Title"/>
    <w:basedOn w:val="a"/>
    <w:link w:val="a5"/>
    <w:qFormat/>
    <w:rsid w:val="009C64CC"/>
    <w:pPr>
      <w:spacing w:before="100" w:beforeAutospacing="1" w:after="100" w:afterAutospacing="1"/>
    </w:pPr>
  </w:style>
  <w:style w:type="character" w:customStyle="1" w:styleId="a5">
    <w:name w:val="Заголовок Знак"/>
    <w:basedOn w:val="a0"/>
    <w:link w:val="a4"/>
    <w:rsid w:val="009C64CC"/>
    <w:rPr>
      <w:rFonts w:ascii="Times New Roman" w:eastAsia="Times New Roman" w:hAnsi="Times New Roman" w:cs="Times New Roman"/>
      <w:lang w:eastAsia="ru-RU"/>
    </w:rPr>
  </w:style>
  <w:style w:type="paragraph" w:styleId="21">
    <w:name w:val="Body Text Indent 2"/>
    <w:basedOn w:val="a"/>
    <w:link w:val="22"/>
    <w:rsid w:val="009C64CC"/>
    <w:pPr>
      <w:spacing w:before="100" w:beforeAutospacing="1" w:after="100" w:afterAutospacing="1"/>
    </w:pPr>
  </w:style>
  <w:style w:type="character" w:customStyle="1" w:styleId="22">
    <w:name w:val="Основной текст с отступом 2 Знак"/>
    <w:basedOn w:val="a0"/>
    <w:link w:val="21"/>
    <w:rsid w:val="009C64CC"/>
    <w:rPr>
      <w:rFonts w:ascii="Times New Roman" w:eastAsia="Times New Roman" w:hAnsi="Times New Roman" w:cs="Times New Roman"/>
      <w:lang w:eastAsia="ru-RU"/>
    </w:rPr>
  </w:style>
  <w:style w:type="paragraph" w:styleId="a6">
    <w:name w:val="Body Text"/>
    <w:basedOn w:val="a"/>
    <w:link w:val="a7"/>
    <w:rsid w:val="009C64CC"/>
    <w:pPr>
      <w:spacing w:before="100" w:beforeAutospacing="1" w:after="100" w:afterAutospacing="1"/>
    </w:pPr>
  </w:style>
  <w:style w:type="character" w:customStyle="1" w:styleId="a7">
    <w:name w:val="Основной текст Знак"/>
    <w:basedOn w:val="a0"/>
    <w:link w:val="a6"/>
    <w:rsid w:val="009C64CC"/>
    <w:rPr>
      <w:rFonts w:ascii="Times New Roman" w:eastAsia="Times New Roman" w:hAnsi="Times New Roman" w:cs="Times New Roman"/>
      <w:lang w:eastAsia="ru-RU"/>
    </w:rPr>
  </w:style>
  <w:style w:type="paragraph" w:styleId="a8">
    <w:name w:val="Body Text Indent"/>
    <w:basedOn w:val="a"/>
    <w:link w:val="a9"/>
    <w:rsid w:val="009C64CC"/>
    <w:pPr>
      <w:spacing w:after="120"/>
      <w:ind w:left="283"/>
    </w:pPr>
  </w:style>
  <w:style w:type="character" w:customStyle="1" w:styleId="a9">
    <w:name w:val="Основной текст с отступом Знак"/>
    <w:basedOn w:val="a0"/>
    <w:link w:val="a8"/>
    <w:rsid w:val="009C64CC"/>
    <w:rPr>
      <w:rFonts w:ascii="Times New Roman" w:eastAsia="Times New Roman" w:hAnsi="Times New Roman" w:cs="Times New Roman"/>
      <w:lang w:eastAsia="ru-RU"/>
    </w:rPr>
  </w:style>
  <w:style w:type="character" w:styleId="aa">
    <w:name w:val="Hyperlink"/>
    <w:basedOn w:val="a0"/>
    <w:uiPriority w:val="99"/>
    <w:semiHidden/>
    <w:unhideWhenUsed/>
    <w:rsid w:val="009C64CC"/>
    <w:rPr>
      <w:color w:val="0000FF"/>
      <w:u w:val="single"/>
    </w:rPr>
  </w:style>
  <w:style w:type="character" w:customStyle="1" w:styleId="20">
    <w:name w:val="Заголовок 2 Знак"/>
    <w:basedOn w:val="a0"/>
    <w:link w:val="2"/>
    <w:uiPriority w:val="9"/>
    <w:rsid w:val="00DB18B2"/>
    <w:rPr>
      <w:rFonts w:ascii="Times New Roman" w:eastAsia="Times New Roman" w:hAnsi="Times New Roman" w:cs="Times New Roman"/>
      <w:b/>
      <w:bCs/>
      <w:sz w:val="36"/>
      <w:szCs w:val="3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7466547">
      <w:bodyDiv w:val="1"/>
      <w:marLeft w:val="0"/>
      <w:marRight w:val="0"/>
      <w:marTop w:val="0"/>
      <w:marBottom w:val="0"/>
      <w:divBdr>
        <w:top w:val="none" w:sz="0" w:space="0" w:color="auto"/>
        <w:left w:val="none" w:sz="0" w:space="0" w:color="auto"/>
        <w:bottom w:val="none" w:sz="0" w:space="0" w:color="auto"/>
        <w:right w:val="none" w:sz="0" w:space="0" w:color="auto"/>
      </w:divBdr>
    </w:div>
    <w:div w:id="1059791336">
      <w:bodyDiv w:val="1"/>
      <w:marLeft w:val="0"/>
      <w:marRight w:val="0"/>
      <w:marTop w:val="0"/>
      <w:marBottom w:val="0"/>
      <w:divBdr>
        <w:top w:val="none" w:sz="0" w:space="0" w:color="auto"/>
        <w:left w:val="none" w:sz="0" w:space="0" w:color="auto"/>
        <w:bottom w:val="none" w:sz="0" w:space="0" w:color="auto"/>
        <w:right w:val="none" w:sz="0" w:space="0" w:color="auto"/>
      </w:divBdr>
    </w:div>
    <w:div w:id="1806969607">
      <w:bodyDiv w:val="1"/>
      <w:marLeft w:val="0"/>
      <w:marRight w:val="0"/>
      <w:marTop w:val="0"/>
      <w:marBottom w:val="0"/>
      <w:divBdr>
        <w:top w:val="none" w:sz="0" w:space="0" w:color="auto"/>
        <w:left w:val="none" w:sz="0" w:space="0" w:color="auto"/>
        <w:bottom w:val="none" w:sz="0" w:space="0" w:color="auto"/>
        <w:right w:val="none" w:sz="0" w:space="0" w:color="auto"/>
      </w:divBdr>
    </w:div>
    <w:div w:id="2005549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gif"/><Relationship Id="rId5" Type="http://schemas.openxmlformats.org/officeDocument/2006/relationships/image" Target="media/image2.gif"/><Relationship Id="rId4" Type="http://schemas.openxmlformats.org/officeDocument/2006/relationships/image" Target="media/image1.gif"/></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705</Words>
  <Characters>4021</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2020-12-03T03:46:00Z</dcterms:created>
  <dcterms:modified xsi:type="dcterms:W3CDTF">2020-12-03T05:26:00Z</dcterms:modified>
</cp:coreProperties>
</file>